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DSC-25</w:t>
      </w:r>
      <w:r>
        <w:t xml:space="preserve"> </w:t>
      </w:r>
      <w:r>
        <w:t xml:space="preserve">Early</w:t>
      </w:r>
      <w:r>
        <w:t xml:space="preserve"> </w:t>
      </w:r>
      <w:r>
        <w:t xml:space="preserve">indicator</w:t>
      </w:r>
      <w:r>
        <w:t xml:space="preserve"> </w:t>
      </w:r>
      <w:r>
        <w:t xml:space="preserve">for</w:t>
      </w:r>
      <w:r>
        <w:t xml:space="preserve"> </w:t>
      </w:r>
      <w:r>
        <w:t xml:space="preserve">GDP</w:t>
      </w:r>
      <w:r>
        <w:t xml:space="preserve"> </w:t>
      </w:r>
      <w:r>
        <w:t xml:space="preserve">based</w:t>
      </w:r>
      <w:r>
        <w:t xml:space="preserve"> </w:t>
      </w:r>
      <w:r>
        <w:t xml:space="preserve">on</w:t>
      </w:r>
      <w:r>
        <w:t xml:space="preserve"> </w:t>
      </w:r>
      <w:r>
        <w:t xml:space="preserve">VAT</w:t>
      </w:r>
    </w:p>
    <w:p>
      <w:pPr>
        <w:pStyle w:val="Date"/>
      </w:pPr>
      <w:r>
        <w:t xml:space="preserve">2018-04-12</w:t>
      </w:r>
    </w:p>
    <w:p>
      <w:pPr>
        <w:pStyle w:val="FirstParagraph"/>
      </w:pPr>
      <w:r>
        <w:t xml:space="preserve">Can company tax (value added tax, VAT) turnover returns be used to provide an early indicator of gross domestic product (GDP) growth?</w:t>
      </w:r>
    </w:p>
    <w:p>
      <w:pPr>
        <w:pStyle w:val="Heading2"/>
      </w:pPr>
      <w:bookmarkStart w:id="20" w:name="team-members"/>
      <w:r>
        <w:t xml:space="preserve">Team members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Louisa Nolan</w:t>
      </w:r>
    </w:p>
    <w:p>
      <w:pPr>
        <w:pStyle w:val="Compact"/>
        <w:numPr>
          <w:numId w:val="1001"/>
          <w:ilvl w:val="0"/>
        </w:numPr>
      </w:pPr>
      <w:r>
        <w:t xml:space="preserve">Gareth Clews</w:t>
      </w:r>
    </w:p>
    <w:p>
      <w:pPr>
        <w:pStyle w:val="Compact"/>
        <w:numPr>
          <w:numId w:val="1001"/>
          <w:ilvl w:val="0"/>
        </w:numPr>
      </w:pPr>
      <w:r>
        <w:t xml:space="preserve">Steven Hopkins</w:t>
      </w:r>
    </w:p>
    <w:p>
      <w:pPr>
        <w:pStyle w:val="Compact"/>
        <w:numPr>
          <w:numId w:val="1001"/>
          <w:ilvl w:val="0"/>
        </w:numPr>
      </w:pPr>
      <w:r>
        <w:t xml:space="preserve">Bernard Peat</w:t>
      </w:r>
    </w:p>
    <w:p>
      <w:pPr>
        <w:pStyle w:val="Compact"/>
        <w:numPr>
          <w:numId w:val="1001"/>
          <w:ilvl w:val="0"/>
        </w:numPr>
      </w:pPr>
      <w:r>
        <w:t xml:space="preserve">Cerys Hopkins</w:t>
      </w:r>
    </w:p>
    <w:p>
      <w:pPr>
        <w:pStyle w:val="Compact"/>
        <w:numPr>
          <w:numId w:val="1001"/>
          <w:ilvl w:val="0"/>
        </w:numPr>
      </w:pPr>
      <w:r>
        <w:t xml:space="preserve">Ben Aspey</w:t>
      </w:r>
    </w:p>
    <w:p>
      <w:pPr>
        <w:pStyle w:val="Compact"/>
        <w:numPr>
          <w:numId w:val="1001"/>
          <w:ilvl w:val="0"/>
        </w:numPr>
      </w:pPr>
      <w:r>
        <w:t xml:space="preserve">Rhydian Page</w:t>
      </w:r>
    </w:p>
    <w:p>
      <w:pPr>
        <w:pStyle w:val="Compact"/>
        <w:numPr>
          <w:numId w:val="1001"/>
          <w:ilvl w:val="0"/>
        </w:numPr>
      </w:pPr>
      <w:r>
        <w:t xml:space="preserve">Caitlin Johnson</w:t>
      </w:r>
    </w:p>
    <w:p>
      <w:pPr>
        <w:pStyle w:val="Compact"/>
        <w:numPr>
          <w:numId w:val="1001"/>
          <w:ilvl w:val="0"/>
        </w:numPr>
      </w:pPr>
      <w:r>
        <w:t xml:space="preserve">Tom Smith</w:t>
      </w:r>
    </w:p>
    <w:p>
      <w:pPr>
        <w:pStyle w:val="Heading2"/>
      </w:pPr>
      <w:bookmarkStart w:id="21" w:name="the-need"/>
      <w:r>
        <w:t xml:space="preserve">The need</w:t>
      </w:r>
      <w:bookmarkEnd w:id="21"/>
    </w:p>
    <w:p>
      <w:pPr>
        <w:pStyle w:val="Compact"/>
        <w:numPr>
          <w:numId w:val="1002"/>
          <w:ilvl w:val="0"/>
        </w:numPr>
      </w:pPr>
      <w:r>
        <w:t xml:space="preserve">What are we trying to improve?</w:t>
      </w:r>
      <w:r>
        <w:t xml:space="preserve"> </w:t>
      </w:r>
      <w:r>
        <w:t xml:space="preserve">Following the financial downturn in 2008/09 a need was identified for a means of predicting behaviour of economic measures at an earlier point than the official cestimates</w:t>
      </w:r>
    </w:p>
    <w:p>
      <w:pPr>
        <w:pStyle w:val="Compact"/>
        <w:numPr>
          <w:numId w:val="1002"/>
          <w:ilvl w:val="0"/>
        </w:numPr>
      </w:pPr>
      <w:r>
        <w:t xml:space="preserve">How might this be useful?</w:t>
      </w:r>
      <w:r>
        <w:t xml:space="preserve"> </w:t>
      </w:r>
      <w:r>
        <w:t xml:space="preserve">This indicator may provide advance warning of large change in behaviour of GDP.</w:t>
      </w:r>
    </w:p>
    <w:p>
      <w:pPr>
        <w:pStyle w:val="Heading2"/>
      </w:pPr>
      <w:bookmarkStart w:id="22" w:name="impact"/>
      <w:r>
        <w:t xml:space="preserve">Impact</w:t>
      </w:r>
      <w:bookmarkEnd w:id="22"/>
    </w:p>
    <w:p>
      <w:pPr>
        <w:pStyle w:val="Compact"/>
        <w:numPr>
          <w:numId w:val="1003"/>
          <w:ilvl w:val="0"/>
        </w:numPr>
      </w:pPr>
      <w:r>
        <w:t xml:space="preserve">What is the impact in terms of public good?</w:t>
      </w:r>
      <w:r>
        <w:t xml:space="preserve"> </w:t>
      </w:r>
      <w:r>
        <w:t xml:space="preserve">This project can allow a more immediate understanding of and reaction to changes in the economy.</w:t>
      </w:r>
    </w:p>
    <w:p>
      <w:pPr>
        <w:pStyle w:val="Compact"/>
        <w:numPr>
          <w:numId w:val="1003"/>
          <w:ilvl w:val="0"/>
        </w:numPr>
      </w:pPr>
      <w:r>
        <w:t xml:space="preserve">This is to be shared with Office for National Statistics (ONS) National Accounts via delivery of the codebase used in the prototype and a blog will be written for publication on the Campus website.</w:t>
      </w:r>
    </w:p>
    <w:p>
      <w:pPr>
        <w:pStyle w:val="Compact"/>
        <w:numPr>
          <w:numId w:val="1003"/>
          <w:ilvl w:val="0"/>
        </w:numPr>
      </w:pPr>
      <w:r>
        <w:t xml:space="preserve">Who is using it? This indicator is not currently in use. It may be used by ONS once a full suite of indicators is developed as a separate project.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Compact"/>
        <w:numPr>
          <w:numId w:val="1004"/>
          <w:ilvl w:val="0"/>
        </w:numPr>
      </w:pPr>
      <w:r>
        <w:t xml:space="preserve">What’s new, innovative, shiny, difficult, interesting about this?</w:t>
      </w:r>
      <w:r>
        <w:t xml:space="preserve"> </w:t>
      </w:r>
      <w:r>
        <w:t xml:space="preserve">Use of administrative data sources to predict behaviours of official statistics.</w:t>
      </w:r>
    </w:p>
    <w:p>
      <w:pPr>
        <w:pStyle w:val="Compact"/>
        <w:numPr>
          <w:numId w:val="1004"/>
          <w:ilvl w:val="0"/>
        </w:numPr>
      </w:pPr>
      <w:r>
        <w:t xml:space="preserve">What is the data science</w:t>
      </w:r>
      <w:r>
        <w:t xml:space="preserve"> </w:t>
      </w:r>
      <w:r>
        <w:rPr>
          <w:b/>
        </w:rPr>
        <w:t xml:space="preserve">stack</w:t>
      </w:r>
      <w:r>
        <w:t xml:space="preserve"> </w:t>
      </w:r>
      <w:r>
        <w:t xml:space="preserve">?</w:t>
      </w:r>
      <w:r>
        <w:t xml:space="preserve"> </w:t>
      </w:r>
      <w:r>
        <w:t xml:space="preserve">Python.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5"/>
          <w:ilvl w:val="0"/>
        </w:numPr>
      </w:pPr>
      <w:r>
        <w:t xml:space="preserve">Who are the Partners / stakeholders?</w:t>
      </w:r>
    </w:p>
    <w:p>
      <w:pPr>
        <w:pStyle w:val="Compact"/>
        <w:numPr>
          <w:numId w:val="1006"/>
          <w:ilvl w:val="1"/>
        </w:numPr>
      </w:pPr>
      <w:r>
        <w:t xml:space="preserve">ONS</w:t>
      </w:r>
    </w:p>
    <w:p>
      <w:pPr>
        <w:pStyle w:val="Compact"/>
        <w:numPr>
          <w:numId w:val="1006"/>
          <w:ilvl w:val="1"/>
        </w:numPr>
      </w:pPr>
      <w:r>
        <w:t xml:space="preserve">HM Treasury</w:t>
      </w:r>
    </w:p>
    <w:p>
      <w:pPr>
        <w:pStyle w:val="Compact"/>
        <w:numPr>
          <w:numId w:val="1006"/>
          <w:ilvl w:val="1"/>
        </w:numPr>
      </w:pPr>
      <w:r>
        <w:t xml:space="preserve">HMRC</w:t>
      </w:r>
    </w:p>
    <w:p>
      <w:pPr>
        <w:pStyle w:val="Compact"/>
        <w:numPr>
          <w:numId w:val="1005"/>
          <w:ilvl w:val="0"/>
        </w:numPr>
      </w:pPr>
      <w:r>
        <w:t xml:space="preserve">Who are we working with?</w:t>
      </w:r>
    </w:p>
    <w:p>
      <w:pPr>
        <w:pStyle w:val="Compact"/>
        <w:numPr>
          <w:numId w:val="1007"/>
          <w:ilvl w:val="1"/>
        </w:numPr>
      </w:pPr>
      <w:r>
        <w:t xml:space="preserve">ONS</w:t>
      </w:r>
    </w:p>
    <w:p>
      <w:pPr>
        <w:pStyle w:val="Heading2"/>
      </w:pPr>
      <w:bookmarkStart w:id="25" w:name="code-and-outputs"/>
      <w:r>
        <w:t xml:space="preserve">Code and outputs</w:t>
      </w:r>
      <w:bookmarkEnd w:id="25"/>
    </w:p>
    <w:p>
      <w:pPr>
        <w:pStyle w:val="Compact"/>
        <w:numPr>
          <w:numId w:val="1008"/>
          <w:ilvl w:val="0"/>
        </w:numPr>
      </w:pPr>
      <w:r>
        <w:t xml:space="preserve">What are the outputs?</w:t>
      </w:r>
    </w:p>
    <w:p>
      <w:pPr>
        <w:pStyle w:val="Compact"/>
        <w:numPr>
          <w:numId w:val="1009"/>
          <w:ilvl w:val="1"/>
        </w:numPr>
      </w:pPr>
      <w:r>
        <w:t xml:space="preserve">Code</w:t>
      </w:r>
    </w:p>
    <w:p>
      <w:pPr>
        <w:pStyle w:val="Compact"/>
        <w:numPr>
          <w:numId w:val="1009"/>
          <w:ilvl w:val="1"/>
        </w:numPr>
      </w:pPr>
      <w:r>
        <w:t xml:space="preserve">Blog</w:t>
      </w:r>
    </w:p>
    <w:p>
      <w:pPr>
        <w:pStyle w:val="Compact"/>
        <w:numPr>
          <w:numId w:val="1008"/>
          <w:ilvl w:val="0"/>
        </w:numPr>
      </w:pPr>
      <w:r>
        <w:t xml:space="preserve">Repository is not currently public</w:t>
      </w:r>
    </w:p>
    <w:p>
      <w:pPr>
        <w:pStyle w:val="Heading2"/>
      </w:pPr>
      <w:bookmarkStart w:id="26" w:name="related-and-existing-work"/>
      <w:r>
        <w:t xml:space="preserve">Related and existing work</w:t>
      </w:r>
      <w:bookmarkEnd w:id="26"/>
    </w:p>
    <w:p>
      <w:pPr>
        <w:pStyle w:val="Compact"/>
        <w:numPr>
          <w:numId w:val="1010"/>
          <w:ilvl w:val="0"/>
        </w:numPr>
      </w:pPr>
      <w:r>
        <w:t xml:space="preserve">Links to related research, other groups (inside + outside gov)</w:t>
      </w:r>
    </w:p>
    <w:p>
      <w:pPr>
        <w:pStyle w:val="Compact"/>
        <w:numPr>
          <w:numId w:val="1011"/>
          <w:ilvl w:val="1"/>
        </w:numPr>
      </w:pPr>
      <w:hyperlink r:id="rId27">
        <w:r>
          <w:rPr>
            <w:rStyle w:val="Hyperlink"/>
          </w:rPr>
          <w:t xml:space="preserve">VAT turnover implementation in National Accounts</w:t>
        </w:r>
      </w:hyperlink>
    </w:p>
    <w:p>
      <w:pPr>
        <w:pStyle w:val="Compact"/>
        <w:numPr>
          <w:numId w:val="1011"/>
          <w:ilvl w:val="1"/>
        </w:numPr>
      </w:pPr>
      <w:hyperlink r:id="rId28">
        <w:r>
          <w:rPr>
            <w:rStyle w:val="Hyperlink"/>
          </w:rPr>
          <w:t xml:space="preserve">PWC predictor of GDP</w:t>
        </w:r>
      </w:hyperlink>
    </w:p>
    <w:p>
      <w:pPr>
        <w:pStyle w:val="Heading2"/>
      </w:pPr>
      <w:bookmarkStart w:id="29" w:name="delivery"/>
      <w:r>
        <w:t xml:space="preserve">Delivery</w:t>
      </w:r>
      <w:bookmarkEnd w:id="29"/>
    </w:p>
    <w:p>
      <w:pPr>
        <w:pStyle w:val="Compact"/>
        <w:numPr>
          <w:numId w:val="1012"/>
          <w:ilvl w:val="0"/>
        </w:numPr>
      </w:pPr>
      <w:r>
        <w:t xml:space="preserve">[x]</w:t>
      </w:r>
      <w:r>
        <w:t xml:space="preserve"> </w:t>
      </w:r>
      <w:r>
        <w:rPr>
          <w:b/>
        </w:rPr>
        <w:t xml:space="preserve">May 2018</w:t>
      </w:r>
      <w:r>
        <w:t xml:space="preserve"> </w:t>
      </w:r>
      <w:r>
        <w:t xml:space="preserve">Project delivered to National Accounts</w:t>
      </w:r>
    </w:p>
    <w:p>
      <w:pPr>
        <w:pStyle w:val="Compact"/>
        <w:numPr>
          <w:numId w:val="1012"/>
          <w:ilvl w:val="0"/>
        </w:numPr>
      </w:pPr>
      <w:r>
        <w:t xml:space="preserve">[ ]</w:t>
      </w:r>
      <w:r>
        <w:t xml:space="preserve"> </w:t>
      </w:r>
      <w:r>
        <w:rPr>
          <w:b/>
        </w:rPr>
        <w:t xml:space="preserve">October 2018</w:t>
      </w:r>
      <w:r>
        <w:t xml:space="preserve"> </w:t>
      </w:r>
      <w:r>
        <w:t xml:space="preserve">Blog publication</w:t>
      </w:r>
    </w:p>
    <w:p>
      <w:pPr>
        <w:pStyle w:val="Heading2"/>
      </w:pPr>
      <w:bookmarkStart w:id="30" w:name="further-information"/>
      <w:r>
        <w:t xml:space="preserve">Further information</w:t>
      </w:r>
      <w:bookmarkEnd w:id="30"/>
    </w:p>
    <w:p>
      <w:pPr>
        <w:pStyle w:val="FirstParagraph"/>
      </w:pPr>
      <w:r>
        <w:t xml:space="preserve">Please contact</w:t>
      </w:r>
      <w:r>
        <w:t xml:space="preserve"> </w:t>
      </w:r>
      <w:hyperlink r:id="rId31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32" w:name="updates"/>
      <w:r>
        <w:t xml:space="preserve">Updates</w:t>
      </w:r>
      <w:bookmarkEnd w:id="32"/>
    </w:p>
    <w:p>
      <w:pPr>
        <w:pStyle w:val="Compact"/>
        <w:numPr>
          <w:numId w:val="1013"/>
          <w:ilvl w:val="0"/>
        </w:numPr>
      </w:pPr>
      <w:r>
        <w:t xml:space="preserve">No updates yet.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www.ons.gov.uk/economy/grossdomesticproductgdp/articles/vatturnoverinitialresearchanalysisuk/novemberupdate" TargetMode="External" /><Relationship Type="http://schemas.openxmlformats.org/officeDocument/2006/relationships/hyperlink" Id="rId28" Target="https://www.pwc.co.uk/services/economics-policy/insights/uk-economic-outlook.html" TargetMode="External" /><Relationship Type="http://schemas.openxmlformats.org/officeDocument/2006/relationships/hyperlink" Id="rId31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www.ons.gov.uk/economy/grossdomesticproductgdp/articles/vatturnoverinitialresearchanalysisuk/novemberupdate" TargetMode="External" /><Relationship Type="http://schemas.openxmlformats.org/officeDocument/2006/relationships/hyperlink" Id="rId28" Target="https://www.pwc.co.uk/services/economics-policy/insights/uk-economic-outlook.html" TargetMode="External" /><Relationship Type="http://schemas.openxmlformats.org/officeDocument/2006/relationships/hyperlink" Id="rId31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DSC-25 Early indicator for GDP based on VAT</dc:title>
  <dc:creator/>
  <cp:keywords/>
  <dcterms:created xsi:type="dcterms:W3CDTF">2020-09-29T11:21:48Z</dcterms:created>
  <dcterms:modified xsi:type="dcterms:W3CDTF">2020-09-29T11:21:48Z</dcterms:modified>
</cp:coreProperties>
</file>